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Default="00F92268" w:rsidP="00850792">
      <w:pPr>
        <w:pStyle w:val="BodyText"/>
        <w:rPr>
          <w:sz w:val="6"/>
          <w:szCs w:val="6"/>
          <w:lang w:val="en-GB"/>
        </w:rPr>
      </w:pPr>
      <w:r w:rsidRPr="000E644C">
        <w:rPr>
          <w:noProof/>
          <w:lang w:val="en-GB"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0E644C" w:rsidRPr="00BD1CC1" w14:paraId="46EBD027" w14:textId="77777777" w:rsidTr="00603626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7F7D04" w14:textId="77777777" w:rsidR="000E644C" w:rsidRPr="00EC47B6" w:rsidRDefault="000E644C" w:rsidP="000E644C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0E644C" w:rsidRPr="00BD1CC1" w14:paraId="310DE079" w14:textId="77777777" w:rsidTr="00603626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4FDE" w14:textId="57710721" w:rsidR="000E644C" w:rsidRPr="00FF66BF" w:rsidRDefault="000E644C" w:rsidP="00212F57">
            <w:pPr>
              <w:pStyle w:val="RefTableData"/>
            </w:pPr>
            <w:r>
              <w:t>3986-A</w:t>
            </w:r>
          </w:p>
        </w:tc>
      </w:tr>
    </w:tbl>
    <w:p w14:paraId="74FBA5B4" w14:textId="77777777" w:rsidR="00051356" w:rsidRPr="00212F57" w:rsidRDefault="00051356" w:rsidP="00212F57">
      <w:pPr>
        <w:pStyle w:val="BodyText"/>
        <w:spacing w:after="0"/>
        <w:rPr>
          <w:sz w:val="16"/>
          <w:szCs w:val="16"/>
          <w:lang w:val="en-GB"/>
        </w:rPr>
        <w:sectPr w:rsidR="00051356" w:rsidRPr="00212F57" w:rsidSect="003D0C8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3C18157" w:rsidR="004B15BB" w:rsidRPr="000E644C" w:rsidRDefault="00DE086C" w:rsidP="007E5C16">
      <w:pPr>
        <w:pStyle w:val="Heading1"/>
        <w:rPr>
          <w:lang w:val="en-GB"/>
        </w:rPr>
      </w:pPr>
      <w:r w:rsidRPr="000E644C">
        <w:rPr>
          <w:lang w:val="en-GB"/>
        </w:rPr>
        <w:t>Specialty Guideline Management</w:t>
      </w:r>
      <w:r w:rsidR="008C54D9" w:rsidRPr="000E644C">
        <w:rPr>
          <w:lang w:val="en-GB"/>
        </w:rPr>
        <w:br/>
      </w:r>
      <w:r w:rsidR="00763E2A" w:rsidRPr="000E644C">
        <w:rPr>
          <w:lang w:val="en-GB"/>
        </w:rPr>
        <w:t>Phesgo</w:t>
      </w:r>
    </w:p>
    <w:p w14:paraId="78861C92" w14:textId="32A7AC29" w:rsidR="00203468" w:rsidRPr="000E644C" w:rsidRDefault="00C64534" w:rsidP="008E0F0D">
      <w:pPr>
        <w:pStyle w:val="Heading2"/>
        <w:rPr>
          <w:lang w:val="en-GB"/>
        </w:rPr>
      </w:pPr>
      <w:r w:rsidRPr="000E644C">
        <w:rPr>
          <w:lang w:val="en-GB"/>
        </w:rPr>
        <w:t xml:space="preserve">Products Referenced by this </w:t>
      </w:r>
      <w:r w:rsidR="00501602" w:rsidRPr="000E644C">
        <w:rPr>
          <w:lang w:val="en-GB"/>
        </w:rPr>
        <w:t>Document</w:t>
      </w:r>
    </w:p>
    <w:p w14:paraId="5455152B" w14:textId="5202D919" w:rsidR="008E0F0D" w:rsidRPr="000E644C" w:rsidRDefault="00D82D85" w:rsidP="008B73E8">
      <w:pPr>
        <w:pStyle w:val="BodyText"/>
        <w:rPr>
          <w:lang w:val="en-GB"/>
        </w:rPr>
      </w:pPr>
      <w:r w:rsidRPr="000E644C">
        <w:rPr>
          <w:lang w:val="en-GB"/>
        </w:rPr>
        <w:t xml:space="preserve">Drugs that are listed in the </w:t>
      </w:r>
      <w:r w:rsidR="000315F1" w:rsidRPr="000E644C">
        <w:rPr>
          <w:lang w:val="en-GB"/>
        </w:rPr>
        <w:t>following table</w:t>
      </w:r>
      <w:r w:rsidRPr="000E644C">
        <w:rPr>
          <w:lang w:val="en-GB"/>
        </w:rPr>
        <w:t xml:space="preserve"> include both brand and generic and all dosage forms and strengths unless otherwise stated. </w:t>
      </w:r>
      <w:r w:rsidR="00503B28" w:rsidRPr="00503B28">
        <w:rPr>
          <w:lang w:val="en-GB"/>
        </w:rPr>
        <w:t xml:space="preserve">Over-the-counter </w:t>
      </w:r>
      <w:r w:rsidR="00503B28">
        <w:rPr>
          <w:lang w:val="en-GB"/>
        </w:rPr>
        <w:t>(</w:t>
      </w:r>
      <w:r w:rsidRPr="000E644C">
        <w:rPr>
          <w:lang w:val="en-GB"/>
        </w:rPr>
        <w:t>OTC</w:t>
      </w:r>
      <w:r w:rsidR="00503B28">
        <w:rPr>
          <w:lang w:val="en-GB"/>
        </w:rPr>
        <w:t>)</w:t>
      </w:r>
      <w:r w:rsidRPr="000E644C">
        <w:rPr>
          <w:lang w:val="en-GB"/>
        </w:rPr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E644C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E644C" w:rsidRDefault="00252CE1" w:rsidP="00AA1E6A">
            <w:pPr>
              <w:pStyle w:val="TableHeader"/>
              <w:rPr>
                <w:lang w:val="en-GB"/>
              </w:rPr>
            </w:pPr>
            <w:bookmarkStart w:id="0" w:name="_Hlk159603270"/>
            <w:r w:rsidRPr="000E644C">
              <w:rPr>
                <w:lang w:val="en-GB"/>
              </w:rPr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E644C" w:rsidRDefault="00252CE1" w:rsidP="00AA1E6A">
            <w:pPr>
              <w:pStyle w:val="TableHeader"/>
              <w:rPr>
                <w:lang w:val="en-GB"/>
              </w:rPr>
            </w:pPr>
            <w:r w:rsidRPr="000E644C">
              <w:rPr>
                <w:lang w:val="en-GB"/>
              </w:rPr>
              <w:t>Generic Name</w:t>
            </w:r>
          </w:p>
        </w:tc>
      </w:tr>
      <w:tr w:rsidR="00585FFF" w:rsidRPr="000E644C" w14:paraId="2AD5C02D" w14:textId="77777777" w:rsidTr="000C5A6F">
        <w:trPr>
          <w:cantSplit/>
        </w:trPr>
        <w:tc>
          <w:tcPr>
            <w:tcW w:w="5265" w:type="dxa"/>
          </w:tcPr>
          <w:p w14:paraId="2D8FA8E3" w14:textId="3DCA98C5" w:rsidR="00585FFF" w:rsidRPr="000E644C" w:rsidRDefault="0021692E" w:rsidP="00E82ABA">
            <w:pPr>
              <w:pStyle w:val="TableDataUnpadded"/>
              <w:rPr>
                <w:lang w:val="en-GB"/>
              </w:rPr>
            </w:pPr>
            <w:r w:rsidRPr="000E644C">
              <w:rPr>
                <w:lang w:val="en-GB"/>
              </w:rPr>
              <w:t>Phesgo</w:t>
            </w:r>
          </w:p>
        </w:tc>
        <w:tc>
          <w:tcPr>
            <w:tcW w:w="5595" w:type="dxa"/>
          </w:tcPr>
          <w:p w14:paraId="7E26A004" w14:textId="55990638" w:rsidR="00585FFF" w:rsidRPr="000E644C" w:rsidRDefault="00D30CBC" w:rsidP="00E82ABA">
            <w:pPr>
              <w:pStyle w:val="TableDataUnpadded"/>
              <w:rPr>
                <w:bCs/>
                <w:lang w:val="en-GB"/>
              </w:rPr>
            </w:pPr>
            <w:r w:rsidRPr="000E644C">
              <w:rPr>
                <w:bCs/>
                <w:lang w:val="en-GB"/>
              </w:rPr>
              <w:t>pertuzumab, trastuzumab, and hyaluronidase-zzxf</w:t>
            </w:r>
          </w:p>
        </w:tc>
      </w:tr>
    </w:tbl>
    <w:bookmarkEnd w:id="0"/>
    <w:p w14:paraId="40861567" w14:textId="10927D7E" w:rsidR="00F11AFD" w:rsidRPr="000E644C" w:rsidRDefault="00ED052F" w:rsidP="00F11AFD">
      <w:pPr>
        <w:pStyle w:val="Heading2"/>
        <w:rPr>
          <w:lang w:val="en-GB"/>
        </w:rPr>
      </w:pPr>
      <w:r w:rsidRPr="000E644C">
        <w:rPr>
          <w:lang w:val="en-GB"/>
        </w:rPr>
        <w:t>Indications</w:t>
      </w:r>
    </w:p>
    <w:p w14:paraId="4E5FCFB2" w14:textId="03FE025E" w:rsidR="00B26F29" w:rsidRPr="000E644C" w:rsidRDefault="00B26F29" w:rsidP="00B26F29">
      <w:pPr>
        <w:pStyle w:val="BodyText"/>
        <w:rPr>
          <w:lang w:val="en-GB"/>
        </w:rPr>
      </w:pPr>
      <w:r w:rsidRPr="000E644C">
        <w:rPr>
          <w:lang w:val="en-GB"/>
        </w:rPr>
        <w:t xml:space="preserve">The indications below including FDA-approved indications and compendial uses are considered a covered benefit provided that all the approval criteria are </w:t>
      </w:r>
      <w:proofErr w:type="gramStart"/>
      <w:r w:rsidRPr="000E644C">
        <w:rPr>
          <w:lang w:val="en-GB"/>
        </w:rPr>
        <w:t>met</w:t>
      </w:r>
      <w:proofErr w:type="gramEnd"/>
      <w:r w:rsidRPr="000E644C">
        <w:rPr>
          <w:lang w:val="en-GB"/>
        </w:rPr>
        <w:t xml:space="preserve"> and the member has no exclusions to the prescribed therapy</w:t>
      </w:r>
      <w:r w:rsidR="00212F57">
        <w:rPr>
          <w:lang w:val="en-GB"/>
        </w:rPr>
        <w:t>.</w:t>
      </w:r>
    </w:p>
    <w:p w14:paraId="134B5687" w14:textId="40A43A84" w:rsidR="00ED052F" w:rsidRPr="000E644C" w:rsidRDefault="00ED052F" w:rsidP="00ED052F">
      <w:pPr>
        <w:pStyle w:val="Heading3"/>
        <w:keepNext w:val="0"/>
        <w:rPr>
          <w:lang w:val="en-GB"/>
        </w:rPr>
      </w:pPr>
      <w:r w:rsidRPr="000E644C">
        <w:rPr>
          <w:lang w:val="en-GB"/>
        </w:rPr>
        <w:t>FDA-approved Indications</w:t>
      </w:r>
      <w:r w:rsidR="00503B28">
        <w:rPr>
          <w:vertAlign w:val="superscript"/>
          <w:lang w:val="en-GB"/>
        </w:rPr>
        <w:t>1</w:t>
      </w:r>
    </w:p>
    <w:p w14:paraId="3481BEEB" w14:textId="77777777" w:rsidR="000E644C" w:rsidRPr="00212F57" w:rsidRDefault="00752424" w:rsidP="00212F57">
      <w:pPr>
        <w:pStyle w:val="Heading4"/>
      </w:pPr>
      <w:r w:rsidRPr="000E644C">
        <w:rPr>
          <w:lang w:val="en-GB"/>
        </w:rPr>
        <w:t>Neoadjuvant treatment of breast cancer</w:t>
      </w:r>
    </w:p>
    <w:p w14:paraId="6753AA64" w14:textId="79F2B5C4" w:rsidR="00752424" w:rsidRPr="000E644C" w:rsidRDefault="00752424" w:rsidP="00212F57">
      <w:pPr>
        <w:pStyle w:val="BodyText"/>
        <w:rPr>
          <w:u w:val="single"/>
          <w:lang w:val="en-GB"/>
        </w:rPr>
      </w:pPr>
      <w:r w:rsidRPr="000E644C">
        <w:rPr>
          <w:lang w:val="en-GB"/>
        </w:rPr>
        <w:t xml:space="preserve">For use in combination with chemotherapy for the neoadjuvant treatment of adult patients with HER2-positive, locally advanced, inflammatory, or </w:t>
      </w:r>
      <w:r w:rsidR="0062712C" w:rsidRPr="000E644C">
        <w:rPr>
          <w:lang w:val="en-GB"/>
        </w:rPr>
        <w:t>early-stage</w:t>
      </w:r>
      <w:r w:rsidRPr="000E644C">
        <w:rPr>
          <w:lang w:val="en-GB"/>
        </w:rPr>
        <w:t xml:space="preserve"> breast cancer (either greater than 2 cm in diameter or node positive) as part of a complete treatment regimen for early breast cancer.</w:t>
      </w:r>
    </w:p>
    <w:p w14:paraId="0DD6E7F2" w14:textId="7765BB0F" w:rsidR="000E644C" w:rsidRPr="00212F57" w:rsidRDefault="00752424" w:rsidP="00212F57">
      <w:pPr>
        <w:pStyle w:val="Heading4"/>
      </w:pPr>
      <w:r w:rsidRPr="000E644C">
        <w:rPr>
          <w:lang w:val="en-GB"/>
        </w:rPr>
        <w:t>Adjuvant treatment of breast cancer</w:t>
      </w:r>
    </w:p>
    <w:p w14:paraId="3856F424" w14:textId="0CEE1DDC" w:rsidR="00752424" w:rsidRPr="000E644C" w:rsidRDefault="00752424" w:rsidP="000E644C">
      <w:pPr>
        <w:pStyle w:val="BodyText"/>
        <w:rPr>
          <w:u w:val="single"/>
          <w:lang w:val="en-GB"/>
        </w:rPr>
      </w:pPr>
      <w:r w:rsidRPr="000E644C">
        <w:rPr>
          <w:lang w:val="en-GB"/>
        </w:rPr>
        <w:t>For use in combination with chemotherapy for the adjuvant treatment of adult patients with HER2-positive early breast cancer at high risk of recurrence.</w:t>
      </w:r>
    </w:p>
    <w:p w14:paraId="1E4DCAAA" w14:textId="77777777" w:rsidR="000E644C" w:rsidRDefault="00752424" w:rsidP="00212F57">
      <w:pPr>
        <w:pStyle w:val="Heading4"/>
        <w:keepNext w:val="0"/>
        <w:keepLines w:val="0"/>
        <w:widowControl w:val="0"/>
        <w:rPr>
          <w:lang w:val="en-GB"/>
        </w:rPr>
      </w:pPr>
      <w:r w:rsidRPr="000E644C">
        <w:rPr>
          <w:lang w:val="en-GB"/>
        </w:rPr>
        <w:t>Metastatic breast cancer (MBC)</w:t>
      </w:r>
    </w:p>
    <w:p w14:paraId="06D839EC" w14:textId="25FC36A6" w:rsidR="00752424" w:rsidRPr="000E644C" w:rsidRDefault="00752424" w:rsidP="00212F57">
      <w:pPr>
        <w:pStyle w:val="BodyText"/>
        <w:widowControl w:val="0"/>
        <w:rPr>
          <w:lang w:val="en-GB"/>
        </w:rPr>
      </w:pPr>
      <w:r w:rsidRPr="000E644C">
        <w:rPr>
          <w:lang w:val="en-GB"/>
        </w:rPr>
        <w:t>For use in combination with docetaxel for the treatment of adult patients with HER2-positive metastatic breast cancer who have not received prior anti-HER2 therapy or chemotherapy for metastatic disease.</w:t>
      </w:r>
    </w:p>
    <w:p w14:paraId="5755535D" w14:textId="53768F22" w:rsidR="00752424" w:rsidRPr="000E644C" w:rsidRDefault="00752424" w:rsidP="00752424">
      <w:pPr>
        <w:pStyle w:val="Heading3"/>
        <w:rPr>
          <w:lang w:val="en-GB"/>
        </w:rPr>
      </w:pPr>
      <w:bookmarkStart w:id="1" w:name="OLE_LINK2"/>
      <w:r w:rsidRPr="000E644C">
        <w:rPr>
          <w:lang w:val="en-GB"/>
        </w:rPr>
        <w:lastRenderedPageBreak/>
        <w:t>Compendial Uses</w:t>
      </w:r>
      <w:r w:rsidR="00503B28">
        <w:rPr>
          <w:vertAlign w:val="superscript"/>
          <w:lang w:val="en-GB"/>
        </w:rPr>
        <w:t>2</w:t>
      </w:r>
    </w:p>
    <w:p w14:paraId="18EA0A13" w14:textId="5B096FC9" w:rsidR="00752424" w:rsidRPr="000E644C" w:rsidRDefault="00752424" w:rsidP="000E644C">
      <w:pPr>
        <w:pStyle w:val="BodyText"/>
        <w:rPr>
          <w:lang w:val="en-GB"/>
        </w:rPr>
      </w:pPr>
      <w:r w:rsidRPr="000E644C">
        <w:rPr>
          <w:lang w:val="en-GB"/>
        </w:rPr>
        <w:t xml:space="preserve">HER2-positive breast cancer: May be substituted anywhere that the combination of intravenous pertuzumab and </w:t>
      </w:r>
      <w:r w:rsidRPr="000E644C">
        <w:t>intravenous</w:t>
      </w:r>
      <w:r w:rsidRPr="000E644C">
        <w:rPr>
          <w:lang w:val="en-GB"/>
        </w:rPr>
        <w:t xml:space="preserve"> trastuzumab are given as part of systemic therapy</w:t>
      </w:r>
      <w:r w:rsidR="003B479B">
        <w:rPr>
          <w:lang w:val="en-GB"/>
        </w:rPr>
        <w:t>.</w:t>
      </w:r>
    </w:p>
    <w:bookmarkEnd w:id="1"/>
    <w:p w14:paraId="6199C168" w14:textId="18AE959A" w:rsidR="00B5418E" w:rsidRPr="000E644C" w:rsidRDefault="00B5418E" w:rsidP="000E644C">
      <w:pPr>
        <w:pStyle w:val="BodyText"/>
        <w:rPr>
          <w:lang w:val="en-GB"/>
        </w:rPr>
      </w:pPr>
      <w:r w:rsidRPr="000E644C">
        <w:rPr>
          <w:lang w:val="en-GB"/>
        </w:rPr>
        <w:t xml:space="preserve">All other indications are </w:t>
      </w:r>
      <w:r w:rsidRPr="000E644C">
        <w:t>considered</w:t>
      </w:r>
      <w:r w:rsidRPr="000E644C">
        <w:rPr>
          <w:lang w:val="en-GB"/>
        </w:rPr>
        <w:t xml:space="preserve"> experimental/investigational and not medically necessary</w:t>
      </w:r>
      <w:r w:rsidR="00212F57">
        <w:rPr>
          <w:lang w:val="en-GB"/>
        </w:rPr>
        <w:t>.</w:t>
      </w:r>
    </w:p>
    <w:p w14:paraId="36381B6D" w14:textId="326FEBE1" w:rsidR="000D2496" w:rsidRPr="000E644C" w:rsidRDefault="000D2496" w:rsidP="000D2496">
      <w:pPr>
        <w:pStyle w:val="Heading2"/>
        <w:rPr>
          <w:lang w:val="en-GB"/>
        </w:rPr>
      </w:pPr>
      <w:r w:rsidRPr="000E644C">
        <w:rPr>
          <w:lang w:val="en-GB"/>
        </w:rPr>
        <w:t>Documentation</w:t>
      </w:r>
    </w:p>
    <w:p w14:paraId="2180ED6E" w14:textId="1412638A" w:rsidR="000D2496" w:rsidRPr="000E644C" w:rsidRDefault="00B26F29" w:rsidP="000E644C">
      <w:pPr>
        <w:pStyle w:val="BodyText"/>
        <w:rPr>
          <w:lang w:val="en-GB"/>
        </w:rPr>
      </w:pPr>
      <w:r w:rsidRPr="000E644C">
        <w:rPr>
          <w:lang w:val="en-GB"/>
        </w:rPr>
        <w:t xml:space="preserve">Submission of the following </w:t>
      </w:r>
      <w:r w:rsidRPr="000E644C">
        <w:t>information</w:t>
      </w:r>
      <w:r w:rsidRPr="000E644C">
        <w:rPr>
          <w:lang w:val="en-GB"/>
        </w:rPr>
        <w:t xml:space="preserve"> is necessary to initiate the prior authorization review: </w:t>
      </w:r>
      <w:r w:rsidR="002F25FB" w:rsidRPr="000E644C">
        <w:rPr>
          <w:sz w:val="20"/>
          <w:szCs w:val="20"/>
        </w:rPr>
        <w:t>human epidermal growth factor receptor 2 (HER2) status</w:t>
      </w:r>
      <w:r w:rsidRPr="000E644C">
        <w:rPr>
          <w:lang w:val="en-GB"/>
        </w:rPr>
        <w:t>.</w:t>
      </w:r>
    </w:p>
    <w:p w14:paraId="4DF59CAC" w14:textId="29C45B6C" w:rsidR="00B26F29" w:rsidRPr="000E644C" w:rsidRDefault="00971DD2" w:rsidP="004212D9">
      <w:pPr>
        <w:pStyle w:val="Heading2"/>
        <w:tabs>
          <w:tab w:val="left" w:pos="9345"/>
        </w:tabs>
        <w:rPr>
          <w:lang w:val="en-GB"/>
        </w:rPr>
      </w:pPr>
      <w:r w:rsidRPr="000E644C">
        <w:rPr>
          <w:lang w:val="en-GB"/>
        </w:rPr>
        <w:t>Coverage Criteria</w:t>
      </w:r>
    </w:p>
    <w:p w14:paraId="2B038506" w14:textId="5940FA8D" w:rsidR="00995F1D" w:rsidRPr="00F11BDA" w:rsidRDefault="00995F1D" w:rsidP="00B5418E">
      <w:pPr>
        <w:pStyle w:val="Heading3"/>
        <w:rPr>
          <w:vertAlign w:val="superscript"/>
          <w:lang w:val="en-GB"/>
        </w:rPr>
      </w:pPr>
      <w:r w:rsidRPr="000E644C">
        <w:rPr>
          <w:lang w:val="en-GB"/>
        </w:rPr>
        <w:t>Breast Cancer</w:t>
      </w:r>
      <w:r w:rsidR="00503B28">
        <w:rPr>
          <w:vertAlign w:val="superscript"/>
          <w:lang w:val="en-GB"/>
        </w:rPr>
        <w:t>1</w:t>
      </w:r>
      <w:r w:rsidR="00BA73A9">
        <w:rPr>
          <w:vertAlign w:val="superscript"/>
          <w:lang w:val="en-GB"/>
        </w:rPr>
        <w:t>-3</w:t>
      </w:r>
    </w:p>
    <w:p w14:paraId="4ECC13D3" w14:textId="63E9D723" w:rsidR="00B5418E" w:rsidRPr="000E644C" w:rsidRDefault="00B5418E" w:rsidP="00D32BA5">
      <w:pPr>
        <w:pStyle w:val="ListParagraph"/>
        <w:numPr>
          <w:ilvl w:val="0"/>
          <w:numId w:val="46"/>
        </w:numPr>
        <w:contextualSpacing w:val="0"/>
        <w:rPr>
          <w:lang w:val="en-GB"/>
        </w:rPr>
      </w:pPr>
      <w:r w:rsidRPr="000E644C">
        <w:rPr>
          <w:lang w:val="en-GB"/>
        </w:rPr>
        <w:t xml:space="preserve">Authorization of 12 months may be granted for pre-operative (neoadjuvant) treatment of HER2-positive breast cancer in combination with chemotherapy for locally advanced, inflammatory, or </w:t>
      </w:r>
      <w:r w:rsidR="0062712C" w:rsidRPr="000E644C">
        <w:rPr>
          <w:lang w:val="en-GB"/>
        </w:rPr>
        <w:t>early-stage</w:t>
      </w:r>
      <w:r w:rsidRPr="000E644C">
        <w:rPr>
          <w:lang w:val="en-GB"/>
        </w:rPr>
        <w:t xml:space="preserve"> breast cancer (either greater than 2 cm in diameter or node positive).</w:t>
      </w:r>
    </w:p>
    <w:p w14:paraId="06215814" w14:textId="4F5D7E73" w:rsidR="00B5418E" w:rsidRPr="000E644C" w:rsidRDefault="00B5418E" w:rsidP="00D32BA5">
      <w:pPr>
        <w:pStyle w:val="ListParagraph"/>
        <w:numPr>
          <w:ilvl w:val="0"/>
          <w:numId w:val="46"/>
        </w:numPr>
        <w:contextualSpacing w:val="0"/>
        <w:rPr>
          <w:lang w:val="en-GB"/>
        </w:rPr>
      </w:pPr>
      <w:r w:rsidRPr="000E644C">
        <w:rPr>
          <w:lang w:val="en-GB"/>
        </w:rPr>
        <w:t>Authorization of 12 months may be granted for adjuvant treatment of HER2-positive breast cancer.</w:t>
      </w:r>
    </w:p>
    <w:p w14:paraId="37B059AC" w14:textId="483CA340" w:rsidR="00995F1D" w:rsidRPr="000E644C" w:rsidRDefault="00B5418E" w:rsidP="00D32BA5">
      <w:pPr>
        <w:pStyle w:val="ListParagraph"/>
        <w:numPr>
          <w:ilvl w:val="0"/>
          <w:numId w:val="46"/>
        </w:numPr>
        <w:contextualSpacing w:val="0"/>
        <w:rPr>
          <w:lang w:val="en-GB"/>
        </w:rPr>
      </w:pPr>
      <w:r w:rsidRPr="000E644C">
        <w:rPr>
          <w:lang w:val="en-GB"/>
        </w:rPr>
        <w:t>Authorization of 12 months may be granted for the treatment of HER2-positive recurrent or metastatic breast cancer or HER2-positive breast cancer with no response to preoperative systemic therapy</w:t>
      </w:r>
      <w:r w:rsidR="00995F1D" w:rsidRPr="000E644C">
        <w:rPr>
          <w:lang w:val="en-GB"/>
        </w:rPr>
        <w:t>.</w:t>
      </w:r>
    </w:p>
    <w:p w14:paraId="3A643EC3" w14:textId="1D15095D" w:rsidR="00A501AC" w:rsidRPr="000E644C" w:rsidRDefault="00A501AC" w:rsidP="00A501AC">
      <w:pPr>
        <w:pStyle w:val="Heading2"/>
        <w:rPr>
          <w:lang w:val="en-GB"/>
        </w:rPr>
      </w:pPr>
      <w:r w:rsidRPr="000E644C">
        <w:rPr>
          <w:lang w:val="en-GB"/>
        </w:rPr>
        <w:t>Continuation of Therapy</w:t>
      </w:r>
    </w:p>
    <w:p w14:paraId="06FD3317" w14:textId="50C8DE77" w:rsidR="0083606D" w:rsidRPr="000E644C" w:rsidRDefault="00547C94" w:rsidP="00B26F29">
      <w:pPr>
        <w:pStyle w:val="BodyText"/>
        <w:rPr>
          <w:lang w:val="en-GB"/>
        </w:rPr>
      </w:pPr>
      <w:r w:rsidRPr="000E644C">
        <w:rPr>
          <w:lang w:val="en-GB"/>
        </w:rPr>
        <w:t xml:space="preserve">Authorization of 12 months may be granted for continued treatment in members requesting reauthorization for an indication listed in </w:t>
      </w:r>
      <w:r w:rsidR="00503B28">
        <w:rPr>
          <w:lang w:val="en-GB"/>
        </w:rPr>
        <w:t>the coverage criteria</w:t>
      </w:r>
      <w:r w:rsidR="00FE3CD7">
        <w:rPr>
          <w:lang w:val="en-GB"/>
        </w:rPr>
        <w:t xml:space="preserve"> section</w:t>
      </w:r>
      <w:r w:rsidRPr="000E644C">
        <w:rPr>
          <w:lang w:val="en-GB"/>
        </w:rPr>
        <w:t xml:space="preserve"> when there is no evidence of unacceptable toxicity or disease progression while on the current regimen. Adjuvant and neoadjuvant treatment of breast cancer will be approved for a total of 12 months of therapy</w:t>
      </w:r>
      <w:r w:rsidR="00DC39ED" w:rsidRPr="000E644C">
        <w:rPr>
          <w:lang w:val="en-GB"/>
        </w:rPr>
        <w:t>.</w:t>
      </w:r>
    </w:p>
    <w:p w14:paraId="17409917" w14:textId="1784B50F" w:rsidR="00C96B3F" w:rsidRPr="000E644C" w:rsidRDefault="00C96B3F" w:rsidP="0048554E">
      <w:pPr>
        <w:pStyle w:val="Heading2"/>
        <w:spacing w:before="120"/>
        <w:rPr>
          <w:lang w:val="en-GB"/>
        </w:rPr>
      </w:pPr>
      <w:r w:rsidRPr="000E644C">
        <w:rPr>
          <w:lang w:val="en-GB"/>
        </w:rPr>
        <w:t>References</w:t>
      </w:r>
    </w:p>
    <w:p w14:paraId="2C34B71B" w14:textId="3E3ADD64" w:rsidR="00547C94" w:rsidRPr="000E644C" w:rsidRDefault="00547C94" w:rsidP="00176FEB">
      <w:pPr>
        <w:pStyle w:val="ReferenceOrdered"/>
        <w:keepNext w:val="0"/>
        <w:numPr>
          <w:ilvl w:val="0"/>
          <w:numId w:val="31"/>
        </w:numPr>
        <w:ind w:left="360" w:hanging="360"/>
        <w:rPr>
          <w:lang w:val="en-GB"/>
        </w:rPr>
      </w:pPr>
      <w:r w:rsidRPr="000E644C">
        <w:rPr>
          <w:lang w:val="en-GB"/>
        </w:rPr>
        <w:t xml:space="preserve">Phesgo [package insert]. South San Francisco, CA: Genentech, Inc; </w:t>
      </w:r>
      <w:r w:rsidR="001E34EC">
        <w:rPr>
          <w:lang w:val="en-GB"/>
        </w:rPr>
        <w:t>November</w:t>
      </w:r>
      <w:r w:rsidR="001E34EC" w:rsidRPr="000E644C">
        <w:rPr>
          <w:lang w:val="en-GB"/>
        </w:rPr>
        <w:t xml:space="preserve"> </w:t>
      </w:r>
      <w:r w:rsidRPr="000E644C">
        <w:rPr>
          <w:lang w:val="en-GB"/>
        </w:rPr>
        <w:t>202</w:t>
      </w:r>
      <w:r w:rsidR="001E34EC">
        <w:rPr>
          <w:lang w:val="en-GB"/>
        </w:rPr>
        <w:t>4</w:t>
      </w:r>
      <w:r w:rsidRPr="000E644C">
        <w:rPr>
          <w:lang w:val="en-GB"/>
        </w:rPr>
        <w:t>.</w:t>
      </w:r>
    </w:p>
    <w:p w14:paraId="7D6156FA" w14:textId="080B608C" w:rsidR="00547C94" w:rsidRPr="000E644C" w:rsidRDefault="00547C94" w:rsidP="00176FEB">
      <w:pPr>
        <w:pStyle w:val="ReferenceOrdered"/>
        <w:keepNext w:val="0"/>
        <w:numPr>
          <w:ilvl w:val="0"/>
          <w:numId w:val="31"/>
        </w:numPr>
        <w:ind w:left="360" w:hanging="360"/>
        <w:rPr>
          <w:lang w:val="en-GB"/>
        </w:rPr>
      </w:pPr>
      <w:r w:rsidRPr="000E644C">
        <w:rPr>
          <w:lang w:val="en-GB"/>
        </w:rPr>
        <w:t>The NCCN Drugs &amp; Biologics Compendium® © 202</w:t>
      </w:r>
      <w:r w:rsidR="00385A24">
        <w:rPr>
          <w:lang w:val="en-GB"/>
        </w:rPr>
        <w:t>4</w:t>
      </w:r>
      <w:r w:rsidRPr="000E644C">
        <w:rPr>
          <w:lang w:val="en-GB"/>
        </w:rPr>
        <w:t xml:space="preserve"> National Comprehensive Cancer Network, Inc. https://www.nccn.org. Accessed </w:t>
      </w:r>
      <w:r w:rsidR="001E34EC">
        <w:rPr>
          <w:lang w:val="en-GB"/>
        </w:rPr>
        <w:t>November 26</w:t>
      </w:r>
      <w:r w:rsidRPr="000E644C">
        <w:rPr>
          <w:lang w:val="en-GB"/>
        </w:rPr>
        <w:t>, 202</w:t>
      </w:r>
      <w:r w:rsidR="00385A24">
        <w:rPr>
          <w:lang w:val="en-GB"/>
        </w:rPr>
        <w:t>4</w:t>
      </w:r>
      <w:r w:rsidRPr="000E644C">
        <w:rPr>
          <w:lang w:val="en-GB"/>
        </w:rPr>
        <w:t>.</w:t>
      </w:r>
    </w:p>
    <w:p w14:paraId="6665FE2C" w14:textId="457F1B81" w:rsidR="00F94D13" w:rsidRPr="00681A3F" w:rsidRDefault="00547C94" w:rsidP="00681A3F">
      <w:pPr>
        <w:pStyle w:val="ReferenceOrdered"/>
        <w:keepNext w:val="0"/>
        <w:numPr>
          <w:ilvl w:val="0"/>
          <w:numId w:val="31"/>
        </w:numPr>
        <w:ind w:left="360" w:hanging="360"/>
        <w:rPr>
          <w:lang w:val="en-GB"/>
        </w:rPr>
      </w:pPr>
      <w:proofErr w:type="spellStart"/>
      <w:r w:rsidRPr="000E644C">
        <w:rPr>
          <w:lang w:val="es-US"/>
        </w:rPr>
        <w:t>Von</w:t>
      </w:r>
      <w:proofErr w:type="spellEnd"/>
      <w:r w:rsidRPr="000E644C">
        <w:rPr>
          <w:lang w:val="es-US"/>
        </w:rPr>
        <w:t xml:space="preserve"> </w:t>
      </w:r>
      <w:proofErr w:type="spellStart"/>
      <w:r w:rsidRPr="000E644C">
        <w:rPr>
          <w:lang w:val="es-US"/>
        </w:rPr>
        <w:t>Minckwitz</w:t>
      </w:r>
      <w:proofErr w:type="spellEnd"/>
      <w:r w:rsidRPr="000E644C">
        <w:rPr>
          <w:lang w:val="es-US"/>
        </w:rPr>
        <w:t xml:space="preserve">, G. et al. </w:t>
      </w:r>
      <w:r w:rsidRPr="000E644C">
        <w:rPr>
          <w:lang w:val="en-GB"/>
        </w:rPr>
        <w:t>Adjuvant Pertuzumab and Trastuzumab in Early HER2-Positive Breast Cancer. N. Engl. J. Med. 377, 122–131 (2017). Available at: https://www.nejm.org/doi/full/10.1056/nejmoa1703643</w:t>
      </w:r>
    </w:p>
    <w:sectPr w:rsidR="00F94D13" w:rsidRPr="00681A3F" w:rsidSect="00CE5E0C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E71B" w14:textId="77777777" w:rsidR="00103524" w:rsidRDefault="00103524">
      <w:r>
        <w:separator/>
      </w:r>
    </w:p>
  </w:endnote>
  <w:endnote w:type="continuationSeparator" w:id="0">
    <w:p w14:paraId="23AD60F6" w14:textId="77777777" w:rsidR="00103524" w:rsidRDefault="00103524">
      <w:r>
        <w:continuationSeparator/>
      </w:r>
    </w:p>
  </w:endnote>
  <w:endnote w:type="continuationNotice" w:id="1">
    <w:p w14:paraId="7C4C6C17" w14:textId="77777777" w:rsidR="00103524" w:rsidRDefault="00103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28CC40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461D9" w:rsidRPr="005461D9">
      <w:rPr>
        <w:rFonts w:cs="Arial"/>
        <w:noProof/>
        <w:sz w:val="16"/>
        <w:szCs w:val="16"/>
      </w:rPr>
      <w:t>Phesgo</w:t>
    </w:r>
    <w:r w:rsidR="005461D9">
      <w:rPr>
        <w:rFonts w:cs="Arial"/>
        <w:noProof/>
        <w:snapToGrid w:val="0"/>
        <w:color w:val="000000"/>
        <w:sz w:val="16"/>
        <w:szCs w:val="16"/>
      </w:rPr>
      <w:t xml:space="preserve"> SGM 3986-A</w:t>
    </w:r>
    <w:r w:rsidR="005461D9" w:rsidRPr="005461D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03B2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A80675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2C2F401" w:rsidR="00F75C81" w:rsidRPr="00AA1E6A" w:rsidRDefault="00C36B72" w:rsidP="00F11BD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A04E10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461D9" w:rsidRPr="005461D9">
      <w:rPr>
        <w:rFonts w:cs="Arial"/>
        <w:noProof/>
        <w:sz w:val="16"/>
        <w:szCs w:val="16"/>
      </w:rPr>
      <w:t>Phesgo</w:t>
    </w:r>
    <w:r w:rsidR="005461D9">
      <w:rPr>
        <w:rFonts w:cs="Arial"/>
        <w:noProof/>
        <w:snapToGrid w:val="0"/>
        <w:color w:val="000000"/>
        <w:sz w:val="16"/>
        <w:szCs w:val="16"/>
      </w:rPr>
      <w:t xml:space="preserve"> SGM 3986-A</w:t>
    </w:r>
    <w:r w:rsidR="005461D9" w:rsidRPr="005461D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03B2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6500EB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FAA2E9F" w:rsidR="00ED04EC" w:rsidRPr="00F50D98" w:rsidRDefault="00F50D98" w:rsidP="00F11BD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B5E6B" w14:textId="77777777" w:rsidR="00103524" w:rsidRDefault="00103524">
      <w:r>
        <w:separator/>
      </w:r>
    </w:p>
  </w:footnote>
  <w:footnote w:type="continuationSeparator" w:id="0">
    <w:p w14:paraId="212F1F04" w14:textId="77777777" w:rsidR="00103524" w:rsidRDefault="00103524">
      <w:r>
        <w:continuationSeparator/>
      </w:r>
    </w:p>
  </w:footnote>
  <w:footnote w:type="continuationNotice" w:id="1">
    <w:p w14:paraId="6645948C" w14:textId="77777777" w:rsidR="00103524" w:rsidRDefault="001035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12F57" w:rsidRDefault="00ED04EC" w:rsidP="00212F57">
          <w:pPr>
            <w:pStyle w:val="RefTableData"/>
          </w:pPr>
          <w:r w:rsidRPr="00212F57">
            <w:t>Reference number(s)</w:t>
          </w:r>
        </w:p>
      </w:tc>
    </w:tr>
    <w:tr w:rsidR="00176FEB" w:rsidRPr="00ED04EC" w14:paraId="703C6588" w14:textId="014E0265" w:rsidTr="00C71F45">
      <w:trPr>
        <w:trHeight w:val="378"/>
        <w:jc w:val="right"/>
      </w:trPr>
      <w:tc>
        <w:tcPr>
          <w:tcW w:w="1854" w:type="dxa"/>
        </w:tcPr>
        <w:p w14:paraId="51CE3E64" w14:textId="3C6411D3" w:rsidR="00176FEB" w:rsidRPr="00212F57" w:rsidRDefault="00176FEB" w:rsidP="00212F57">
          <w:pPr>
            <w:pStyle w:val="RefTableData"/>
          </w:pPr>
          <w:r w:rsidRPr="00212F57">
            <w:t>3986-A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7C03"/>
    <w:multiLevelType w:val="hybridMultilevel"/>
    <w:tmpl w:val="AF503138"/>
    <w:lvl w:ilvl="0" w:tplc="6CDA86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3135B"/>
    <w:multiLevelType w:val="hybridMultilevel"/>
    <w:tmpl w:val="D35E5ED6"/>
    <w:lvl w:ilvl="0" w:tplc="04090015">
      <w:start w:val="1"/>
      <w:numFmt w:val="upperLetter"/>
      <w:lvlText w:val="%1."/>
      <w:lvlJc w:val="left"/>
      <w:pPr>
        <w:ind w:left="6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500" w:hanging="180"/>
      </w:pPr>
    </w:lvl>
    <w:lvl w:ilvl="3" w:tplc="0409000F">
      <w:start w:val="1"/>
      <w:numFmt w:val="decimal"/>
      <w:lvlText w:val="%4."/>
      <w:lvlJc w:val="left"/>
      <w:pPr>
        <w:ind w:left="2220" w:hanging="360"/>
      </w:pPr>
    </w:lvl>
    <w:lvl w:ilvl="4" w:tplc="04090019">
      <w:start w:val="1"/>
      <w:numFmt w:val="lowerLetter"/>
      <w:lvlText w:val="%5."/>
      <w:lvlJc w:val="left"/>
      <w:pPr>
        <w:ind w:left="2940" w:hanging="360"/>
      </w:pPr>
    </w:lvl>
    <w:lvl w:ilvl="5" w:tplc="0409001B">
      <w:start w:val="1"/>
      <w:numFmt w:val="lowerRoman"/>
      <w:lvlText w:val="%6."/>
      <w:lvlJc w:val="right"/>
      <w:pPr>
        <w:ind w:left="3660" w:hanging="180"/>
      </w:pPr>
    </w:lvl>
    <w:lvl w:ilvl="6" w:tplc="0409000F">
      <w:start w:val="1"/>
      <w:numFmt w:val="decimal"/>
      <w:lvlText w:val="%7."/>
      <w:lvlJc w:val="left"/>
      <w:pPr>
        <w:ind w:left="4380" w:hanging="360"/>
      </w:pPr>
    </w:lvl>
    <w:lvl w:ilvl="7" w:tplc="04090019">
      <w:start w:val="1"/>
      <w:numFmt w:val="lowerLetter"/>
      <w:lvlText w:val="%8."/>
      <w:lvlJc w:val="left"/>
      <w:pPr>
        <w:ind w:left="5100" w:hanging="360"/>
      </w:pPr>
    </w:lvl>
    <w:lvl w:ilvl="8" w:tplc="0409001B">
      <w:start w:val="1"/>
      <w:numFmt w:val="lowerRoman"/>
      <w:lvlText w:val="%9."/>
      <w:lvlJc w:val="right"/>
      <w:pPr>
        <w:ind w:left="5820" w:hanging="180"/>
      </w:pPr>
    </w:lvl>
  </w:abstractNum>
  <w:abstractNum w:abstractNumId="12" w15:restartNumberingAfterBreak="0">
    <w:nsid w:val="039937CE"/>
    <w:multiLevelType w:val="hybridMultilevel"/>
    <w:tmpl w:val="4934C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7517A2"/>
    <w:multiLevelType w:val="hybridMultilevel"/>
    <w:tmpl w:val="A1AA7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D47BBA"/>
    <w:multiLevelType w:val="hybridMultilevel"/>
    <w:tmpl w:val="0D862A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3A96A97"/>
    <w:multiLevelType w:val="hybridMultilevel"/>
    <w:tmpl w:val="BF8CD5D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180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421FEB"/>
    <w:multiLevelType w:val="hybridMultilevel"/>
    <w:tmpl w:val="CB5AF20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B411A3"/>
    <w:multiLevelType w:val="hybridMultilevel"/>
    <w:tmpl w:val="004E13EA"/>
    <w:lvl w:ilvl="0" w:tplc="FFFFFFFF">
      <w:start w:val="1"/>
      <w:numFmt w:val="decimal"/>
      <w:lvlText w:val="1%1."/>
      <w:lvlJc w:val="center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280636"/>
    <w:multiLevelType w:val="hybridMultilevel"/>
    <w:tmpl w:val="E9864C32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094132"/>
    <w:multiLevelType w:val="hybridMultilevel"/>
    <w:tmpl w:val="A8A8C90A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C05156"/>
    <w:multiLevelType w:val="hybridMultilevel"/>
    <w:tmpl w:val="56BE22D8"/>
    <w:lvl w:ilvl="0" w:tplc="04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314158EA"/>
    <w:multiLevelType w:val="hybridMultilevel"/>
    <w:tmpl w:val="E24E85A4"/>
    <w:lvl w:ilvl="0" w:tplc="BAB67434">
      <w:start w:val="1"/>
      <w:numFmt w:val="decimal"/>
      <w:lvlText w:val="1%1."/>
      <w:lvlJc w:val="center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534434"/>
    <w:multiLevelType w:val="hybridMultilevel"/>
    <w:tmpl w:val="798460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41A22"/>
    <w:multiLevelType w:val="hybridMultilevel"/>
    <w:tmpl w:val="9B4C40DC"/>
    <w:lvl w:ilvl="0" w:tplc="A4143EE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B1DE3"/>
    <w:multiLevelType w:val="hybridMultilevel"/>
    <w:tmpl w:val="657C9E7A"/>
    <w:lvl w:ilvl="0" w:tplc="1B560EDA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1633B3"/>
    <w:multiLevelType w:val="hybridMultilevel"/>
    <w:tmpl w:val="02F27660"/>
    <w:lvl w:ilvl="0" w:tplc="6CDA86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640DF"/>
    <w:multiLevelType w:val="hybridMultilevel"/>
    <w:tmpl w:val="9E5A86BE"/>
    <w:lvl w:ilvl="0" w:tplc="0FBAA0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C8B454FA">
      <w:start w:val="1"/>
      <w:numFmt w:val="upperLetter"/>
      <w:lvlText w:val="%2."/>
      <w:lvlJc w:val="left"/>
      <w:pPr>
        <w:ind w:left="108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144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187B48"/>
    <w:multiLevelType w:val="hybridMultilevel"/>
    <w:tmpl w:val="8A347A70"/>
    <w:lvl w:ilvl="0" w:tplc="6CDA86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A2558"/>
    <w:multiLevelType w:val="hybridMultilevel"/>
    <w:tmpl w:val="A1801C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ED3ED3"/>
    <w:multiLevelType w:val="hybridMultilevel"/>
    <w:tmpl w:val="75781992"/>
    <w:lvl w:ilvl="0" w:tplc="0409000F">
      <w:start w:val="1"/>
      <w:numFmt w:val="decimal"/>
      <w:lvlText w:val="%1.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num w:numId="1" w16cid:durableId="1264921869">
    <w:abstractNumId w:val="16"/>
  </w:num>
  <w:num w:numId="2" w16cid:durableId="606935877">
    <w:abstractNumId w:val="36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7"/>
  </w:num>
  <w:num w:numId="15" w16cid:durableId="616722934">
    <w:abstractNumId w:val="13"/>
  </w:num>
  <w:num w:numId="16" w16cid:durableId="898320195">
    <w:abstractNumId w:val="29"/>
  </w:num>
  <w:num w:numId="17" w16cid:durableId="2128498676">
    <w:abstractNumId w:val="41"/>
  </w:num>
  <w:num w:numId="18" w16cid:durableId="299724409">
    <w:abstractNumId w:val="32"/>
  </w:num>
  <w:num w:numId="19" w16cid:durableId="214585573">
    <w:abstractNumId w:val="19"/>
  </w:num>
  <w:num w:numId="20" w16cid:durableId="1289816170">
    <w:abstractNumId w:val="20"/>
  </w:num>
  <w:num w:numId="21" w16cid:durableId="1066490929">
    <w:abstractNumId w:val="43"/>
  </w:num>
  <w:num w:numId="22" w16cid:durableId="1472481103">
    <w:abstractNumId w:val="34"/>
  </w:num>
  <w:num w:numId="23" w16cid:durableId="1997420403">
    <w:abstractNumId w:val="38"/>
  </w:num>
  <w:num w:numId="24" w16cid:durableId="33312838">
    <w:abstractNumId w:val="33"/>
  </w:num>
  <w:num w:numId="25" w16cid:durableId="507404939">
    <w:abstractNumId w:val="28"/>
  </w:num>
  <w:num w:numId="26" w16cid:durableId="1717578568">
    <w:abstractNumId w:val="27"/>
  </w:num>
  <w:num w:numId="27" w16cid:durableId="218906192">
    <w:abstractNumId w:val="30"/>
  </w:num>
  <w:num w:numId="28" w16cid:durableId="936643453">
    <w:abstractNumId w:val="42"/>
  </w:num>
  <w:num w:numId="29" w16cid:durableId="475689285">
    <w:abstractNumId w:val="37"/>
  </w:num>
  <w:num w:numId="30" w16cid:durableId="1604994175">
    <w:abstractNumId w:val="40"/>
  </w:num>
  <w:num w:numId="31" w16cid:durableId="17201339">
    <w:abstractNumId w:val="10"/>
  </w:num>
  <w:num w:numId="32" w16cid:durableId="181818074">
    <w:abstractNumId w:val="14"/>
  </w:num>
  <w:num w:numId="33" w16cid:durableId="1040402001">
    <w:abstractNumId w:val="26"/>
  </w:num>
  <w:num w:numId="34" w16cid:durableId="1541740861">
    <w:abstractNumId w:val="22"/>
  </w:num>
  <w:num w:numId="35" w16cid:durableId="1923442736">
    <w:abstractNumId w:val="39"/>
  </w:num>
  <w:num w:numId="36" w16cid:durableId="1874228650">
    <w:abstractNumId w:val="44"/>
  </w:num>
  <w:num w:numId="37" w16cid:durableId="149643894">
    <w:abstractNumId w:val="23"/>
  </w:num>
  <w:num w:numId="38" w16cid:durableId="816847021">
    <w:abstractNumId w:val="21"/>
  </w:num>
  <w:num w:numId="39" w16cid:durableId="597375660">
    <w:abstractNumId w:val="25"/>
  </w:num>
  <w:num w:numId="40" w16cid:durableId="1865558277">
    <w:abstractNumId w:val="24"/>
  </w:num>
  <w:num w:numId="41" w16cid:durableId="415157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1901440">
    <w:abstractNumId w:val="35"/>
  </w:num>
  <w:num w:numId="43" w16cid:durableId="1725761088">
    <w:abstractNumId w:val="15"/>
  </w:num>
  <w:num w:numId="44" w16cid:durableId="1939561226">
    <w:abstractNumId w:val="18"/>
  </w:num>
  <w:num w:numId="45" w16cid:durableId="271209235">
    <w:abstractNumId w:val="11"/>
  </w:num>
  <w:num w:numId="46" w16cid:durableId="1775438574">
    <w:abstractNumId w:val="12"/>
  </w:num>
  <w:num w:numId="47" w16cid:durableId="676925109">
    <w:abstractNumId w:val="4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1FFE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151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44C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524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4D3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D3D"/>
    <w:rsid w:val="00173AB9"/>
    <w:rsid w:val="001747DB"/>
    <w:rsid w:val="001747E0"/>
    <w:rsid w:val="00174EC7"/>
    <w:rsid w:val="00174F3B"/>
    <w:rsid w:val="00175B12"/>
    <w:rsid w:val="00175F8E"/>
    <w:rsid w:val="00176167"/>
    <w:rsid w:val="00176A70"/>
    <w:rsid w:val="00176FEB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509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55A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4EC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2F57"/>
    <w:rsid w:val="00213310"/>
    <w:rsid w:val="002134FD"/>
    <w:rsid w:val="002140F4"/>
    <w:rsid w:val="0021437E"/>
    <w:rsid w:val="0021440B"/>
    <w:rsid w:val="0021446F"/>
    <w:rsid w:val="00215A86"/>
    <w:rsid w:val="00215B40"/>
    <w:rsid w:val="0021692E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1E9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5FB"/>
    <w:rsid w:val="002F2FA8"/>
    <w:rsid w:val="002F311C"/>
    <w:rsid w:val="002F335A"/>
    <w:rsid w:val="002F5F01"/>
    <w:rsid w:val="002F6300"/>
    <w:rsid w:val="0030016D"/>
    <w:rsid w:val="00301F62"/>
    <w:rsid w:val="00302543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6C1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1306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A24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79B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0C80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1B1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2D9"/>
    <w:rsid w:val="00421305"/>
    <w:rsid w:val="0042209A"/>
    <w:rsid w:val="0042222E"/>
    <w:rsid w:val="004222AD"/>
    <w:rsid w:val="00422416"/>
    <w:rsid w:val="004226CD"/>
    <w:rsid w:val="00422766"/>
    <w:rsid w:val="004236F4"/>
    <w:rsid w:val="00423C96"/>
    <w:rsid w:val="00424A99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0A6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54E"/>
    <w:rsid w:val="00485778"/>
    <w:rsid w:val="004858B3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EFB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EBC"/>
    <w:rsid w:val="004D4FFD"/>
    <w:rsid w:val="004D67AC"/>
    <w:rsid w:val="004D696E"/>
    <w:rsid w:val="004E0DA9"/>
    <w:rsid w:val="004E16CE"/>
    <w:rsid w:val="004E197E"/>
    <w:rsid w:val="004E1CD5"/>
    <w:rsid w:val="004E1EEE"/>
    <w:rsid w:val="004E2A43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B28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1FC8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B1A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38B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1D9"/>
    <w:rsid w:val="005462B1"/>
    <w:rsid w:val="0054721E"/>
    <w:rsid w:val="00547C94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922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29E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12C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A10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A3F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AFA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B00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424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E2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3F5A"/>
    <w:rsid w:val="008140EC"/>
    <w:rsid w:val="00814A2D"/>
    <w:rsid w:val="00817095"/>
    <w:rsid w:val="008171AA"/>
    <w:rsid w:val="0082041F"/>
    <w:rsid w:val="00821A95"/>
    <w:rsid w:val="00822077"/>
    <w:rsid w:val="00822A02"/>
    <w:rsid w:val="00822C04"/>
    <w:rsid w:val="00822E57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06D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21A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5768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DD2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1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51A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8C0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9D7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776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E52"/>
    <w:rsid w:val="00A96256"/>
    <w:rsid w:val="00A96A09"/>
    <w:rsid w:val="00AA0497"/>
    <w:rsid w:val="00AA0955"/>
    <w:rsid w:val="00AA1E6A"/>
    <w:rsid w:val="00AA2744"/>
    <w:rsid w:val="00AA3142"/>
    <w:rsid w:val="00AA3F55"/>
    <w:rsid w:val="00AA46E5"/>
    <w:rsid w:val="00AA46E6"/>
    <w:rsid w:val="00AA4E3C"/>
    <w:rsid w:val="00AA5CC2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6F29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B8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18E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3A9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6705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F45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D5E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E0C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EC0"/>
    <w:rsid w:val="00D30248"/>
    <w:rsid w:val="00D30A4B"/>
    <w:rsid w:val="00D30CBC"/>
    <w:rsid w:val="00D314DB"/>
    <w:rsid w:val="00D31A54"/>
    <w:rsid w:val="00D32BA5"/>
    <w:rsid w:val="00D32E0D"/>
    <w:rsid w:val="00D33412"/>
    <w:rsid w:val="00D34220"/>
    <w:rsid w:val="00D3433D"/>
    <w:rsid w:val="00D345D3"/>
    <w:rsid w:val="00D34B5E"/>
    <w:rsid w:val="00D3537F"/>
    <w:rsid w:val="00D35582"/>
    <w:rsid w:val="00D3750F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492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45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39ED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86C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3980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0A27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3BEC"/>
    <w:rsid w:val="00E8448F"/>
    <w:rsid w:val="00E850F3"/>
    <w:rsid w:val="00E8520C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BCF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6794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AFD"/>
    <w:rsid w:val="00F11BDA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3F4"/>
    <w:rsid w:val="00F718A3"/>
    <w:rsid w:val="00F71DC9"/>
    <w:rsid w:val="00F729CF"/>
    <w:rsid w:val="00F72FC2"/>
    <w:rsid w:val="00F749A8"/>
    <w:rsid w:val="00F74EA2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D13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B55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4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CD7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21692E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21692E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0E644C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0E644C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0E644C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0E644C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9C143-96B9-4B72-A038-E7395ADF19E0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Phesgo 3986-A SGM P2023</vt:lpstr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Phesgo SGM 3986-A</dc:title>
  <dc:subject>Phesgo SGM 3986-A</dc:subject>
  <dc:creator>CVS Caremark</dc:creator>
  <cp:keywords/>
  <cp:lastModifiedBy>Ortiz, Erica M</cp:lastModifiedBy>
  <cp:revision>3</cp:revision>
  <cp:lastPrinted>2024-04-05T07:20:00Z</cp:lastPrinted>
  <dcterms:created xsi:type="dcterms:W3CDTF">2025-05-08T21:38:00Z</dcterms:created>
  <dcterms:modified xsi:type="dcterms:W3CDTF">2025-05-08T21:38:00Z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152600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